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F6" w:rsidRPr="00036DF6" w:rsidRDefault="00036DF6" w:rsidP="00036DF6">
      <w:pPr>
        <w:tabs>
          <w:tab w:val="left" w:pos="1276"/>
        </w:tabs>
        <w:jc w:val="center"/>
        <w:rPr>
          <w:rFonts w:asciiTheme="minorHAnsi" w:hAnsiTheme="minorHAnsi"/>
          <w:b/>
          <w:sz w:val="28"/>
          <w:szCs w:val="28"/>
        </w:rPr>
      </w:pPr>
      <w:r w:rsidRPr="00036DF6">
        <w:rPr>
          <w:rFonts w:asciiTheme="minorHAnsi" w:hAnsiTheme="minorHAnsi"/>
          <w:b/>
          <w:sz w:val="28"/>
          <w:szCs w:val="28"/>
        </w:rPr>
        <w:t>Ogłoszenie o wyborach ławników sądowych na kadencję 2016-2019</w:t>
      </w:r>
    </w:p>
    <w:p w:rsidR="00036DF6" w:rsidRDefault="00036DF6" w:rsidP="00036DF6">
      <w:pPr>
        <w:overflowPunct/>
        <w:autoSpaceDE/>
        <w:autoSpaceDN/>
        <w:adjustRightInd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 </w:t>
      </w:r>
    </w:p>
    <w:p w:rsidR="00036DF6" w:rsidRPr="00036DF6" w:rsidRDefault="00036DF6" w:rsidP="00036DF6">
      <w:pPr>
        <w:overflowPunct/>
        <w:autoSpaceDE/>
        <w:autoSpaceDN/>
        <w:adjustRightInd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W związku z upływem  w bieżącym roku kadencji ławników i potrzebą wybrania nowych ławników na kadencję 2016-2019 na podstawie art.161 § 1 i 2 ustawy z dnia 27 lipca 2001r. Prawo o ustroju sądów powszechnych (</w:t>
      </w:r>
      <w:proofErr w:type="spellStart"/>
      <w:r w:rsidRPr="00036DF6">
        <w:rPr>
          <w:rFonts w:asciiTheme="minorHAnsi" w:hAnsiTheme="minorHAnsi" w:cs="Arial"/>
          <w:color w:val="000000"/>
          <w:sz w:val="24"/>
          <w:szCs w:val="24"/>
        </w:rPr>
        <w:t>Dz.U</w:t>
      </w:r>
      <w:proofErr w:type="spellEnd"/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. z 2015r.poz.133 z </w:t>
      </w:r>
      <w:proofErr w:type="spellStart"/>
      <w:r w:rsidRPr="00036DF6">
        <w:rPr>
          <w:rFonts w:asciiTheme="minorHAnsi" w:hAnsiTheme="minorHAnsi" w:cs="Arial"/>
          <w:color w:val="000000"/>
          <w:sz w:val="24"/>
          <w:szCs w:val="24"/>
        </w:rPr>
        <w:t>późn.zm</w:t>
      </w:r>
      <w:proofErr w:type="spellEnd"/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.) podaje się do publicznej wiadomości liczbę ławników w celu dokonania ich wyboru najpóźniej w październiku br. przez Radę Gminy Rzeczyca : </w:t>
      </w:r>
    </w:p>
    <w:p w:rsidR="00036DF6" w:rsidRPr="00036DF6" w:rsidRDefault="00036DF6" w:rsidP="00036DF6">
      <w:pPr>
        <w:pStyle w:val="Akapitzlist"/>
        <w:numPr>
          <w:ilvl w:val="0"/>
          <w:numId w:val="1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>do  Sądu Rejonowego w Tomaszowie Mazowieckim  - </w:t>
      </w:r>
      <w:r w:rsidRPr="00036DF6">
        <w:rPr>
          <w:rFonts w:asciiTheme="minorHAnsi" w:hAnsiTheme="minorHAnsi" w:cs="Arial"/>
          <w:b/>
          <w:bCs/>
          <w:color w:val="000000"/>
          <w:sz w:val="24"/>
          <w:szCs w:val="24"/>
        </w:rPr>
        <w:t>1  ławnik</w:t>
      </w:r>
    </w:p>
    <w:p w:rsidR="00036DF6" w:rsidRPr="00036DF6" w:rsidRDefault="00036DF6" w:rsidP="00036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>do  Sądu  Okręgowego  w Piotrkowie Trybunalskim</w:t>
      </w:r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   - </w:t>
      </w:r>
      <w:r w:rsidRPr="00036DF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2  ławników 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Wyżej wymieniona liczba ławników została ustalona przez Kolegium  Sądu Okręgowego w Piotrkowie Tryb. na posiedzeniu w dniu 5 maja 2015r.  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>Zgodnie z art.158 ustawy z dnia 27 lipca 2001r. Prawo o ustroju sądów powszechnych ławnikiem może być wybrany ten, kto: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>posiada obywatelstwo polskie i korzysta z pełni praw cywilnych i obywatelskich;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 xml:space="preserve">jest nieskazitelnego charakteru;  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 xml:space="preserve"> ukończył 30 lat;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>jest zatrudniony, prowadzi działalność gospodarczą lub mieszka  w miejscu kandydowania co najmniej od roku;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 xml:space="preserve"> nie przekroczył 70 lat;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>jest zdolny, ze względu na stan zdrowia, do pełnienia obowiązków ławnika;</w:t>
      </w:r>
    </w:p>
    <w:p w:rsidR="00036DF6" w:rsidRPr="00036DF6" w:rsidRDefault="00036DF6" w:rsidP="00036DF6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Style w:val="Pogrubienie"/>
          <w:rFonts w:asciiTheme="minorHAnsi" w:hAnsiTheme="minorHAnsi" w:cs="Arial"/>
          <w:bCs w:val="0"/>
          <w:color w:val="000000"/>
          <w:sz w:val="24"/>
          <w:szCs w:val="24"/>
        </w:rPr>
      </w:pPr>
      <w:r w:rsidRPr="00036DF6">
        <w:rPr>
          <w:rFonts w:asciiTheme="minorHAnsi" w:hAnsiTheme="minorHAnsi" w:cs="Tahoma"/>
          <w:color w:val="000000" w:themeColor="text1"/>
          <w:sz w:val="24"/>
          <w:szCs w:val="24"/>
        </w:rPr>
        <w:t>posiada co najmniej wykształcenie średnie.</w:t>
      </w:r>
      <w:r w:rsidRPr="00036DF6">
        <w:rPr>
          <w:rStyle w:val="Pogrubienie"/>
          <w:rFonts w:asciiTheme="minorHAnsi" w:hAnsiTheme="minorHAnsi" w:cs="Tahoma"/>
          <w:color w:val="000000" w:themeColor="text1"/>
          <w:sz w:val="24"/>
          <w:szCs w:val="24"/>
        </w:rPr>
        <w:t> </w:t>
      </w:r>
    </w:p>
    <w:p w:rsidR="00036DF6" w:rsidRPr="00036DF6" w:rsidRDefault="00036DF6" w:rsidP="00036DF6">
      <w:pPr>
        <w:overflowPunct/>
        <w:spacing w:before="240"/>
        <w:jc w:val="both"/>
        <w:rPr>
          <w:rFonts w:asciiTheme="minorHAnsi" w:eastAsiaTheme="minorHAnsi" w:hAnsiTheme="minorHAnsi" w:cs="A"/>
          <w:b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b/>
          <w:bCs/>
          <w:sz w:val="24"/>
          <w:szCs w:val="24"/>
          <w:lang w:eastAsia="en-US"/>
        </w:rPr>
        <w:t>Zgodnie z art. 159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> </w:t>
      </w: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 xml:space="preserve">ustawy z dnia 27 lipca 2001r. Prawo o ustroju sądów powszechnych </w:t>
      </w:r>
      <w:r w:rsidRPr="00036DF6">
        <w:rPr>
          <w:rFonts w:asciiTheme="minorHAnsi" w:eastAsiaTheme="minorHAnsi" w:hAnsiTheme="minorHAnsi" w:cs="A"/>
          <w:b/>
          <w:sz w:val="24"/>
          <w:szCs w:val="24"/>
          <w:lang w:eastAsia="en-US"/>
        </w:rPr>
        <w:t>ławnikami nie mogą być: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124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>1)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osoby zatrudnione w sądach powszechnych i innych sądach oraz w prokuraturze;</w:t>
      </w:r>
    </w:p>
    <w:p w:rsidR="00036DF6" w:rsidRPr="00036DF6" w:rsidRDefault="00036DF6" w:rsidP="00036DF6">
      <w:pPr>
        <w:tabs>
          <w:tab w:val="left" w:pos="709"/>
        </w:tabs>
        <w:overflowPunct/>
        <w:ind w:left="709" w:hanging="425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>2)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 xml:space="preserve">osoby wchodzące w skład organów, od których orzeczenia można żądać skierowania sprawy na drogę  postępowania sądowego; </w:t>
      </w:r>
    </w:p>
    <w:p w:rsidR="00036DF6" w:rsidRPr="00036DF6" w:rsidRDefault="00036DF6" w:rsidP="00036DF6">
      <w:pPr>
        <w:tabs>
          <w:tab w:val="left" w:pos="408"/>
        </w:tabs>
        <w:overflowPunct/>
        <w:ind w:left="709" w:hanging="425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>3)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funkcjonariusze Policji oraz inne osoby zajmujące stanowiska związane ze ściganiem przestępstw i wykroczeń;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408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 xml:space="preserve">      4)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adwokaci i aplikanci adwokaccy;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408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 xml:space="preserve">      5)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radcy prawni i aplikanci radcowscy;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408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 xml:space="preserve">      6)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duchowni;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408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 xml:space="preserve">      7)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żołnierze w czynnej służbie wojskowej;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408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 xml:space="preserve">      8)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funkcjonariusze Służby Więziennej;</w:t>
      </w:r>
    </w:p>
    <w:p w:rsidR="00036DF6" w:rsidRPr="00036DF6" w:rsidRDefault="00036DF6" w:rsidP="00036DF6">
      <w:pPr>
        <w:tabs>
          <w:tab w:val="left" w:pos="408"/>
        </w:tabs>
        <w:overflowPunct/>
        <w:ind w:left="408" w:hanging="408"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 xml:space="preserve">      9)</w:t>
      </w: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ab/>
        <w:t>radni gminy, powiatu i województwa.</w:t>
      </w:r>
    </w:p>
    <w:p w:rsidR="00036DF6" w:rsidRPr="00036DF6" w:rsidRDefault="00036DF6" w:rsidP="00036DF6">
      <w:pPr>
        <w:overflowPunct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eastAsiaTheme="minorHAnsi" w:hAnsiTheme="minorHAnsi" w:cs="A"/>
          <w:sz w:val="24"/>
          <w:szCs w:val="24"/>
          <w:lang w:eastAsia="en-US"/>
        </w:rPr>
        <w:t> Nie można być ławnikiem jednocześnie w więcej niż jednym sądzie.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>Zgodnie z art. 162 ustawy z dnia 27 lipca 2001r. Prawo o ustroju sądów powszechnych kandydatów na ławników zgłaszają:</w:t>
      </w:r>
    </w:p>
    <w:p w:rsidR="00036DF6" w:rsidRPr="00036DF6" w:rsidRDefault="00036DF6" w:rsidP="00036DF6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prezesi właściwych sądów,</w:t>
      </w:r>
    </w:p>
    <w:p w:rsidR="00036DF6" w:rsidRPr="00036DF6" w:rsidRDefault="00036DF6" w:rsidP="00036DF6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stowarzyszenia, inne organizacje społeczne i zawodowe, zarejestrowane na podstawie przepisów prawa, z wyłączeniem partii politycznych,</w:t>
      </w:r>
    </w:p>
    <w:p w:rsidR="00036DF6" w:rsidRPr="00036DF6" w:rsidRDefault="00036DF6" w:rsidP="00036DF6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lastRenderedPageBreak/>
        <w:t>co najmniej 50 obywateli mających czynne prawo wyborcze, zamieszkujących stale na terenie gminy dokonującej wyboru.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Termin zgłaszania kandydatów na ławników upływa 30 czerwca 2015r.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Cs/>
          <w:color w:val="000000"/>
          <w:sz w:val="24"/>
          <w:szCs w:val="24"/>
        </w:rPr>
        <w:t xml:space="preserve">Zgłoszenia, które wpłyną po upływie w/w  terminu,  nie będą rozpatrywane. 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Zgodnie  z art. 162 § 2 </w:t>
      </w: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>ustawy z dnia 27 lipca 2001r. Prawo o ustroju sądów powszechnych</w:t>
      </w:r>
      <w:r w:rsidRPr="00036DF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zgłoszenia kandydatów na ławników dokonuje się na karcie zgłoszenia, do której kandydat ma obowiązek dołączyć następujące dokumenty:  </w:t>
      </w:r>
    </w:p>
    <w:p w:rsidR="00036DF6" w:rsidRPr="00036DF6" w:rsidRDefault="00036DF6" w:rsidP="00036DF6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426" w:firstLine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informację o kandydacie  z Krajowego Rejestru Karnego,</w:t>
      </w:r>
    </w:p>
    <w:p w:rsidR="00036DF6" w:rsidRPr="00036DF6" w:rsidRDefault="00036DF6" w:rsidP="00036DF6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oświadczenie kandydata, że nie jest prowadzone przeciwko niemu postępowanie o przestępstwo ścigane z oskarżenia publicznego lub przestępstwo skarbowe;</w:t>
      </w:r>
    </w:p>
    <w:p w:rsidR="00036DF6" w:rsidRPr="00036DF6" w:rsidRDefault="00036DF6" w:rsidP="00036DF6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oświadczenie kandydata, że nie jest lub nie był pozbawiony władzy rodzicielskiej, a także  że władza rodzicielska nie została mu ograniczona ani zawieszona;</w:t>
      </w:r>
    </w:p>
    <w:p w:rsidR="00036DF6" w:rsidRPr="00036DF6" w:rsidRDefault="00036DF6" w:rsidP="00036DF6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zaświadczenie lekarskie o stanie zdrowia kandydata, stwierdzające brak przeciwwskazań  do wykonywania funkcji ławnika,  wystawione przez lekarza, o którym mowa w art. 55 ust. 2a ustawy z dnia 27 sierpnia 2004 r. o świadczeniach opieki zdrowotnej finansowanych ze środków publicznych (Dz. U. z 2008 r. Nr 164, poz. 1027, z </w:t>
      </w:r>
      <w:proofErr w:type="spellStart"/>
      <w:r w:rsidRPr="00036DF6">
        <w:rPr>
          <w:rFonts w:asciiTheme="minorHAnsi" w:hAnsiTheme="minorHAnsi" w:cs="Arial"/>
          <w:color w:val="000000"/>
          <w:sz w:val="24"/>
          <w:szCs w:val="24"/>
        </w:rPr>
        <w:t>późn</w:t>
      </w:r>
      <w:proofErr w:type="spellEnd"/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. zm.), </w:t>
      </w:r>
    </w:p>
    <w:p w:rsidR="00036DF6" w:rsidRPr="00036DF6" w:rsidRDefault="00036DF6" w:rsidP="00036DF6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trzy zdjęcia zgodne z wymogami stosowanymi przy składaniu wniosku o wydanie dowodu osobistego.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Dodatkowo do karty zgłoszenia należy dołączyć : 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-aktualny odpis z Krajowego Rejestru Sądowego albo odpis lub zaświadczenie potwierdzające wpis do innego właściwego rejestru lub ewidencji –jeśli kandydata  zgłasza stowarzyszenie lub inna organizacja społeczna lub zawodowa, zarejestrowana na podstawie przepisów prawa,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- imienna listę osób zgłaszających kandydata wraz z podaniem ich numeru PESEL, miejsca stałego zamieszkania i własnoręcznym podpisem każdej z tych osób- gdy zgłoszenia kandydata na ławnika dokonuje grupa 50 obywateli. Osobą uprawnioną do składania wyjaśnień w sprawie zgłoszenia kandydata  jest osoba, której nazwisko zostało umieszczone jako pierwsze na liście.  </w:t>
      </w:r>
    </w:p>
    <w:p w:rsidR="00036DF6" w:rsidRPr="00036DF6" w:rsidRDefault="00036DF6" w:rsidP="00036DF6">
      <w:pPr>
        <w:overflowPunct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036DF6" w:rsidRPr="00036DF6" w:rsidRDefault="00036DF6" w:rsidP="00036DF6">
      <w:pPr>
        <w:overflowPunct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36DF6">
        <w:rPr>
          <w:rFonts w:asciiTheme="minorHAnsi" w:hAnsiTheme="minorHAnsi" w:cs="Arial"/>
          <w:color w:val="000000"/>
          <w:sz w:val="24"/>
          <w:szCs w:val="24"/>
        </w:rPr>
        <w:t>Informacja  o kandydacie z Krajowego Rejestru Sądowego, oświadczenia  kandydata na ławnika oraz zaświadczenie  lekarskie powinny być opatrzone datą nie wcześniejszą niż 30 dni  przed dniem zgłoszenia 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36DF6">
        <w:rPr>
          <w:rFonts w:asciiTheme="minorHAnsi" w:hAnsiTheme="minorHAnsi" w:cs="Arial"/>
          <w:color w:val="000000"/>
          <w:sz w:val="24"/>
          <w:szCs w:val="24"/>
        </w:rPr>
        <w:t>Natomiast odpis z Krajowego rejestru Sądowego   albo odpis lub zaświadczenie potwierdzające wpis organizacji społecznej lub zawodowej do właściwego rejestru lub ewidencji powinny mieć nie wcześniejszą datę niż 3 miesiące przed dniem zgłoszenia .</w:t>
      </w:r>
    </w:p>
    <w:p w:rsidR="00036DF6" w:rsidRPr="00036DF6" w:rsidRDefault="00036DF6" w:rsidP="00036DF6">
      <w:pPr>
        <w:overflowPunct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036DF6" w:rsidRPr="00E00CD4" w:rsidRDefault="00036DF6" w:rsidP="00036DF6">
      <w:pPr>
        <w:overflowPunct/>
        <w:jc w:val="both"/>
        <w:rPr>
          <w:rFonts w:asciiTheme="minorHAnsi" w:eastAsiaTheme="minorHAnsi" w:hAnsiTheme="minorHAnsi" w:cs="A"/>
          <w:sz w:val="24"/>
          <w:szCs w:val="24"/>
          <w:lang w:eastAsia="en-US"/>
        </w:rPr>
      </w:pPr>
      <w:r w:rsidRPr="00036DF6">
        <w:rPr>
          <w:rFonts w:asciiTheme="minorHAnsi" w:hAnsiTheme="minorHAnsi" w:cs="Arial"/>
          <w:b/>
          <w:color w:val="000000"/>
          <w:sz w:val="24"/>
          <w:szCs w:val="24"/>
        </w:rPr>
        <w:t>Kandydat ponosi wszelkie koszty związane ze zgłoszeniem.</w:t>
      </w:r>
      <w:r w:rsidRPr="00036DF6">
        <w:rPr>
          <w:rFonts w:asciiTheme="minorHAnsi" w:hAnsiTheme="minorHAnsi" w:cs="Arial"/>
          <w:color w:val="000000"/>
          <w:sz w:val="24"/>
          <w:szCs w:val="24"/>
        </w:rPr>
        <w:t xml:space="preserve">  </w:t>
      </w:r>
    </w:p>
    <w:p w:rsidR="00036DF6" w:rsidRPr="00036DF6" w:rsidRDefault="00036DF6" w:rsidP="00036DF6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Fonts w:asciiTheme="minorHAnsi" w:hAnsiTheme="minorHAnsi" w:cs="Arial"/>
          <w:color w:val="000000" w:themeColor="text1"/>
        </w:rPr>
        <w:t xml:space="preserve">Listy wybranych ławników wraz z ich dokumentami zostaną przesłane przez Radę Gminy Rzeczyca prezesom właściwych sądów do dnia 31 października 2015r. 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Style w:val="Pogrubienie"/>
          <w:rFonts w:asciiTheme="minorHAnsi" w:hAnsiTheme="minorHAnsi" w:cs="Arial"/>
          <w:color w:val="000000" w:themeColor="text1"/>
        </w:rPr>
        <w:t>Zgłoszenia kandydatów na ławników będą przyjmowane w sekretariacie  Urzędu  Gminy w Rzeczycy   lub w Biurze Rady Gminy -</w:t>
      </w:r>
      <w:r w:rsidRPr="00036DF6">
        <w:rPr>
          <w:rStyle w:val="apple-converted-space"/>
          <w:rFonts w:asciiTheme="minorHAnsi" w:hAnsiTheme="minorHAnsi" w:cs="Arial"/>
          <w:b/>
          <w:bCs/>
          <w:color w:val="000000" w:themeColor="text1"/>
        </w:rPr>
        <w:t> </w:t>
      </w:r>
      <w:r w:rsidRPr="00036DF6">
        <w:rPr>
          <w:rStyle w:val="Pogrubienie"/>
          <w:rFonts w:asciiTheme="minorHAnsi" w:hAnsiTheme="minorHAnsi" w:cs="Arial"/>
          <w:color w:val="000000" w:themeColor="text1"/>
        </w:rPr>
        <w:t>pokój nr 1a do dnia 30 czerwca 2015 r. w godzinach urzędowania oraz za pośrednictwem poczty na adres: Urząd Gminy w Rzeczycy , ul. Tomaszowska 2, 97-220 Rzeczyca  (decyduje data stempla pocztowego).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Style w:val="Pogrubienie"/>
          <w:rFonts w:asciiTheme="minorHAnsi" w:hAnsiTheme="minorHAnsi" w:cs="Arial"/>
          <w:color w:val="000000" w:themeColor="text1"/>
        </w:rPr>
        <w:t>Karta  zgłoszenia oraz  wzory oświadczeń kandydata na ławnika dostępne są w: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Fonts w:asciiTheme="minorHAnsi" w:hAnsiTheme="minorHAnsi" w:cs="Arial"/>
          <w:color w:val="000000" w:themeColor="text1"/>
        </w:rPr>
        <w:t>1) w Urzędzie Gminy w Rzeczycy (Biuro Rady Gminy )  –pokój 1a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Fonts w:asciiTheme="minorHAnsi" w:hAnsiTheme="minorHAnsi" w:cs="Arial"/>
          <w:color w:val="000000" w:themeColor="text1"/>
        </w:rPr>
        <w:t>2) na stronie BIP Urzędu Gminy w Rzeczycy : </w:t>
      </w:r>
      <w:r w:rsidRPr="00036DF6">
        <w:rPr>
          <w:rStyle w:val="apple-converted-space"/>
          <w:rFonts w:asciiTheme="minorHAnsi" w:hAnsiTheme="minorHAnsi" w:cs="Arial"/>
          <w:color w:val="000000" w:themeColor="text1"/>
        </w:rPr>
        <w:t> </w:t>
      </w:r>
      <w:r w:rsidRPr="00036DF6">
        <w:rPr>
          <w:rFonts w:asciiTheme="minorHAnsi" w:hAnsiTheme="minorHAnsi" w:cs="Arial"/>
        </w:rPr>
        <w:t>www.bip.rzeczyca.pl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Fonts w:asciiTheme="minorHAnsi" w:hAnsiTheme="minorHAnsi" w:cs="Arial"/>
          <w:color w:val="000000" w:themeColor="text1"/>
        </w:rPr>
        <w:t>3) na stronie internetowej Urzędu Gminy Rzeczyca :</w:t>
      </w:r>
      <w:r w:rsidRPr="00036DF6">
        <w:rPr>
          <w:rStyle w:val="apple-converted-space"/>
          <w:rFonts w:asciiTheme="minorHAnsi" w:hAnsiTheme="minorHAnsi" w:cs="Arial"/>
          <w:color w:val="000000" w:themeColor="text1"/>
        </w:rPr>
        <w:t> </w:t>
      </w:r>
      <w:r w:rsidRPr="00036DF6">
        <w:rPr>
          <w:rFonts w:asciiTheme="minorHAnsi" w:hAnsiTheme="minorHAnsi" w:cs="Arial"/>
        </w:rPr>
        <w:t>www.rzeczyca.pl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  <w:r w:rsidRPr="00036DF6">
        <w:rPr>
          <w:rFonts w:asciiTheme="minorHAnsi" w:hAnsiTheme="minorHAnsi" w:cs="Arial"/>
          <w:color w:val="000000" w:themeColor="text1"/>
        </w:rPr>
        <w:t>4) na stronie Ministerstwa Sprawiedliwości:</w:t>
      </w:r>
      <w:r w:rsidRPr="00036DF6">
        <w:rPr>
          <w:rStyle w:val="apple-converted-space"/>
          <w:rFonts w:asciiTheme="minorHAnsi" w:hAnsiTheme="minorHAnsi" w:cs="Arial"/>
          <w:color w:val="000000" w:themeColor="text1"/>
        </w:rPr>
        <w:t> </w:t>
      </w:r>
      <w:hyperlink r:id="rId5" w:history="1">
        <w:r w:rsidRPr="00036DF6">
          <w:rPr>
            <w:rStyle w:val="Hipercze"/>
            <w:rFonts w:asciiTheme="minorHAnsi" w:hAnsiTheme="minorHAnsi" w:cs="Arial"/>
            <w:color w:val="000000" w:themeColor="text1"/>
          </w:rPr>
          <w:t>www.ms.gov.pl</w:t>
        </w:r>
      </w:hyperlink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Tahoma"/>
          <w:color w:val="000000" w:themeColor="text1"/>
        </w:rPr>
      </w:pPr>
      <w:r w:rsidRPr="00036DF6">
        <w:rPr>
          <w:rStyle w:val="Pogrubienie"/>
          <w:rFonts w:asciiTheme="minorHAnsi" w:hAnsiTheme="minorHAnsi" w:cs="Tahoma"/>
          <w:color w:val="000000" w:themeColor="text1"/>
        </w:rPr>
        <w:t> </w:t>
      </w:r>
    </w:p>
    <w:p w:rsidR="00036DF6" w:rsidRPr="00036DF6" w:rsidRDefault="00036DF6" w:rsidP="00036DF6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Theme="minorHAnsi" w:hAnsiTheme="minorHAnsi" w:cs="Arial"/>
          <w:color w:val="000000" w:themeColor="text1"/>
        </w:rPr>
      </w:pPr>
    </w:p>
    <w:p w:rsidR="00C12C11" w:rsidRDefault="00C12C11" w:rsidP="00036DF6">
      <w:pPr>
        <w:jc w:val="both"/>
      </w:pPr>
    </w:p>
    <w:sectPr w:rsidR="00C12C11" w:rsidSect="00036D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248"/>
    <w:multiLevelType w:val="multilevel"/>
    <w:tmpl w:val="2C4A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52F36"/>
    <w:multiLevelType w:val="multilevel"/>
    <w:tmpl w:val="C63C95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96DD8"/>
    <w:multiLevelType w:val="multilevel"/>
    <w:tmpl w:val="73E465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11E53"/>
    <w:multiLevelType w:val="hybridMultilevel"/>
    <w:tmpl w:val="C3DC69A0"/>
    <w:lvl w:ilvl="0" w:tplc="8A2C3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6DF6"/>
    <w:rsid w:val="00036DF6"/>
    <w:rsid w:val="00C1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D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DF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36DF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036DF6"/>
  </w:style>
  <w:style w:type="paragraph" w:styleId="NormalnyWeb">
    <w:name w:val="Normal (Web)"/>
    <w:basedOn w:val="Normalny"/>
    <w:uiPriority w:val="99"/>
    <w:semiHidden/>
    <w:unhideWhenUsed/>
    <w:rsid w:val="00036DF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6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2015-05-21T07:49:00Z</dcterms:created>
  <dcterms:modified xsi:type="dcterms:W3CDTF">2015-05-21T07:54:00Z</dcterms:modified>
</cp:coreProperties>
</file>